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2F" w:rsidRPr="009D000A" w:rsidRDefault="0082442F" w:rsidP="0082442F">
      <w:pPr>
        <w:tabs>
          <w:tab w:val="left" w:pos="180"/>
        </w:tabs>
        <w:jc w:val="both"/>
        <w:rPr>
          <w:b/>
          <w:sz w:val="24"/>
          <w:szCs w:val="24"/>
        </w:rPr>
      </w:pPr>
      <w:r w:rsidRPr="009D000A">
        <w:rPr>
          <w:b/>
          <w:sz w:val="24"/>
          <w:szCs w:val="24"/>
        </w:rPr>
        <w:t xml:space="preserve">Campo de la Formación </w:t>
      </w:r>
      <w:r w:rsidRPr="009D000A">
        <w:rPr>
          <w:b/>
          <w:bCs/>
          <w:sz w:val="24"/>
          <w:szCs w:val="24"/>
        </w:rPr>
        <w:t>General</w:t>
      </w:r>
      <w:r w:rsidRPr="009D000A">
        <w:rPr>
          <w:b/>
          <w:sz w:val="24"/>
          <w:szCs w:val="24"/>
        </w:rPr>
        <w:t xml:space="preserve"> </w:t>
      </w:r>
    </w:p>
    <w:p w:rsidR="0082442F" w:rsidRPr="009D000A" w:rsidRDefault="0082442F" w:rsidP="0082442F">
      <w:pPr>
        <w:tabs>
          <w:tab w:val="left" w:pos="180"/>
        </w:tabs>
        <w:jc w:val="both"/>
        <w:rPr>
          <w:sz w:val="24"/>
          <w:szCs w:val="24"/>
        </w:rPr>
      </w:pPr>
      <w:r w:rsidRPr="009D000A">
        <w:rPr>
          <w:sz w:val="24"/>
          <w:szCs w:val="24"/>
        </w:rPr>
        <w:t>ESPACIO CURRICULAR</w:t>
      </w:r>
      <w:r w:rsidRPr="009D000A">
        <w:rPr>
          <w:b/>
          <w:sz w:val="24"/>
          <w:szCs w:val="24"/>
        </w:rPr>
        <w:t>: “</w:t>
      </w:r>
      <w:r w:rsidRPr="009D000A">
        <w:rPr>
          <w:b/>
          <w:bCs/>
          <w:color w:val="000000"/>
          <w:sz w:val="24"/>
          <w:szCs w:val="24"/>
        </w:rPr>
        <w:t>SOCIOLOGÍA DE LA EDUCACIÓN</w:t>
      </w:r>
      <w:r w:rsidRPr="009D000A">
        <w:rPr>
          <w:b/>
          <w:sz w:val="24"/>
          <w:szCs w:val="24"/>
        </w:rPr>
        <w:t>”.</w:t>
      </w:r>
    </w:p>
    <w:p w:rsidR="0082442F" w:rsidRPr="009D000A" w:rsidRDefault="0082442F" w:rsidP="0082442F">
      <w:pPr>
        <w:tabs>
          <w:tab w:val="left" w:pos="180"/>
        </w:tabs>
        <w:jc w:val="both"/>
        <w:rPr>
          <w:b/>
          <w:sz w:val="24"/>
          <w:szCs w:val="24"/>
        </w:rPr>
      </w:pPr>
      <w:r w:rsidRPr="009D000A">
        <w:rPr>
          <w:sz w:val="24"/>
          <w:szCs w:val="24"/>
        </w:rPr>
        <w:t>FORMATO:</w:t>
      </w:r>
      <w:r w:rsidRPr="009D000A">
        <w:rPr>
          <w:b/>
          <w:sz w:val="24"/>
          <w:szCs w:val="24"/>
        </w:rPr>
        <w:t xml:space="preserve"> Asignatura</w:t>
      </w:r>
    </w:p>
    <w:p w:rsidR="0082442F" w:rsidRPr="009D000A" w:rsidRDefault="0082442F" w:rsidP="0082442F">
      <w:pPr>
        <w:jc w:val="both"/>
        <w:rPr>
          <w:sz w:val="24"/>
          <w:szCs w:val="24"/>
        </w:rPr>
      </w:pPr>
      <w:r w:rsidRPr="009D000A">
        <w:rPr>
          <w:sz w:val="24"/>
          <w:szCs w:val="24"/>
        </w:rPr>
        <w:t xml:space="preserve">PROFESORA: </w:t>
      </w:r>
      <w:r>
        <w:rPr>
          <w:b/>
          <w:sz w:val="24"/>
          <w:szCs w:val="24"/>
        </w:rPr>
        <w:t xml:space="preserve">Barrios Analia Elisabet </w:t>
      </w:r>
    </w:p>
    <w:p w:rsidR="0082442F" w:rsidRPr="009D000A" w:rsidRDefault="0082442F" w:rsidP="0082442F">
      <w:pPr>
        <w:jc w:val="both"/>
        <w:rPr>
          <w:b/>
          <w:sz w:val="24"/>
          <w:szCs w:val="24"/>
        </w:rPr>
      </w:pPr>
      <w:r w:rsidRPr="009D000A">
        <w:rPr>
          <w:b/>
          <w:sz w:val="24"/>
          <w:szCs w:val="24"/>
        </w:rPr>
        <w:t>3</w:t>
      </w:r>
      <w:r w:rsidRPr="009D000A">
        <w:rPr>
          <w:b/>
          <w:sz w:val="24"/>
          <w:szCs w:val="24"/>
          <w:vertAlign w:val="superscript"/>
        </w:rPr>
        <w:t>ro</w:t>
      </w:r>
      <w:r w:rsidR="00540701">
        <w:rPr>
          <w:b/>
          <w:sz w:val="24"/>
          <w:szCs w:val="24"/>
        </w:rPr>
        <w:t xml:space="preserve"> Única División</w:t>
      </w:r>
    </w:p>
    <w:p w:rsidR="0082442F" w:rsidRPr="00540701" w:rsidRDefault="0082442F" w:rsidP="0082442F">
      <w:pPr>
        <w:jc w:val="both"/>
        <w:rPr>
          <w:b/>
          <w:sz w:val="24"/>
          <w:szCs w:val="24"/>
        </w:rPr>
      </w:pPr>
      <w:r w:rsidRPr="009D000A">
        <w:rPr>
          <w:sz w:val="24"/>
          <w:szCs w:val="24"/>
        </w:rPr>
        <w:t>ESPACIO CURRICULAR</w:t>
      </w:r>
      <w:r w:rsidR="00540701">
        <w:rPr>
          <w:sz w:val="24"/>
          <w:szCs w:val="24"/>
        </w:rPr>
        <w:t>:</w:t>
      </w:r>
      <w:r w:rsidRPr="009D000A">
        <w:rPr>
          <w:sz w:val="24"/>
          <w:szCs w:val="24"/>
        </w:rPr>
        <w:t xml:space="preserve"> </w:t>
      </w:r>
      <w:r w:rsidRPr="00540701">
        <w:rPr>
          <w:b/>
          <w:sz w:val="24"/>
          <w:szCs w:val="24"/>
        </w:rPr>
        <w:t>ANUAL - PRESENCIAL.</w:t>
      </w:r>
    </w:p>
    <w:p w:rsidR="0082442F" w:rsidRPr="00540701" w:rsidRDefault="0082442F" w:rsidP="0082442F">
      <w:pPr>
        <w:rPr>
          <w:b/>
          <w:noProof/>
          <w:sz w:val="24"/>
          <w:szCs w:val="24"/>
        </w:rPr>
      </w:pPr>
      <w:r w:rsidRPr="009D000A">
        <w:rPr>
          <w:sz w:val="24"/>
          <w:szCs w:val="24"/>
        </w:rPr>
        <w:t xml:space="preserve">CARGA HORARIA: </w:t>
      </w:r>
      <w:r w:rsidRPr="00540701">
        <w:rPr>
          <w:b/>
          <w:sz w:val="24"/>
          <w:szCs w:val="24"/>
        </w:rPr>
        <w:t>3</w:t>
      </w:r>
      <w:r w:rsidRPr="00540701">
        <w:rPr>
          <w:rFonts w:eastAsia="Calibri"/>
          <w:b/>
          <w:sz w:val="24"/>
          <w:szCs w:val="24"/>
          <w:lang w:eastAsia="en-US"/>
        </w:rPr>
        <w:t xml:space="preserve"> hs Cátedras Semanales / </w:t>
      </w:r>
      <w:r w:rsidRPr="00540701">
        <w:rPr>
          <w:b/>
          <w:color w:val="000000"/>
          <w:sz w:val="24"/>
          <w:szCs w:val="24"/>
          <w:lang w:val="es-MX"/>
        </w:rPr>
        <w:t>96</w:t>
      </w:r>
      <w:r w:rsidRPr="00540701">
        <w:rPr>
          <w:rFonts w:eastAsia="Calibri"/>
          <w:b/>
          <w:sz w:val="24"/>
          <w:szCs w:val="24"/>
          <w:lang w:eastAsia="en-US"/>
        </w:rPr>
        <w:t xml:space="preserve"> hs Cátedras Anuales</w:t>
      </w:r>
      <w:r w:rsidRPr="00540701">
        <w:rPr>
          <w:b/>
          <w:noProof/>
          <w:sz w:val="24"/>
          <w:szCs w:val="24"/>
        </w:rPr>
        <w:t xml:space="preserve"> </w:t>
      </w:r>
    </w:p>
    <w:p w:rsidR="0082442F" w:rsidRPr="009D000A" w:rsidRDefault="0082442F" w:rsidP="0082442F">
      <w:pPr>
        <w:jc w:val="both"/>
        <w:rPr>
          <w:b/>
          <w:sz w:val="24"/>
          <w:szCs w:val="24"/>
        </w:rPr>
      </w:pPr>
      <w:r w:rsidRPr="009D000A">
        <w:rPr>
          <w:sz w:val="24"/>
          <w:szCs w:val="24"/>
        </w:rPr>
        <w:t xml:space="preserve">AÑO LECTIVO: </w:t>
      </w:r>
      <w:r w:rsidR="00D851E6">
        <w:rPr>
          <w:b/>
          <w:sz w:val="24"/>
          <w:szCs w:val="24"/>
        </w:rPr>
        <w:t>2021</w:t>
      </w:r>
    </w:p>
    <w:p w:rsidR="0082442F" w:rsidRPr="002F4FD3" w:rsidRDefault="0082442F" w:rsidP="0082442F">
      <w:pPr>
        <w:jc w:val="both"/>
        <w:rPr>
          <w:sz w:val="24"/>
          <w:szCs w:val="24"/>
        </w:rPr>
      </w:pPr>
    </w:p>
    <w:p w:rsidR="00046610" w:rsidRDefault="0082442F" w:rsidP="0082442F">
      <w:pPr>
        <w:jc w:val="center"/>
        <w:rPr>
          <w:sz w:val="28"/>
          <w:szCs w:val="28"/>
          <w:u w:val="single"/>
        </w:rPr>
      </w:pPr>
      <w:r w:rsidRPr="0082442F">
        <w:rPr>
          <w:sz w:val="28"/>
          <w:szCs w:val="28"/>
          <w:u w:val="single"/>
        </w:rPr>
        <w:t>PROGRAMA</w:t>
      </w:r>
    </w:p>
    <w:p w:rsidR="00E64901" w:rsidRDefault="00E64901" w:rsidP="00E64901">
      <w:pPr>
        <w:rPr>
          <w:sz w:val="28"/>
          <w:szCs w:val="28"/>
          <w:u w:val="single"/>
        </w:rPr>
      </w:pPr>
    </w:p>
    <w:p w:rsidR="00E64901" w:rsidRDefault="00E64901" w:rsidP="00E64901">
      <w:pPr>
        <w:rPr>
          <w:sz w:val="28"/>
          <w:szCs w:val="28"/>
          <w:u w:val="single"/>
        </w:rPr>
      </w:pPr>
      <w:r>
        <w:rPr>
          <w:sz w:val="28"/>
          <w:szCs w:val="28"/>
          <w:u w:val="single"/>
        </w:rPr>
        <w:t>Síntesis Explicativa:</w:t>
      </w:r>
    </w:p>
    <w:p w:rsidR="00D63450" w:rsidRDefault="00D63450" w:rsidP="00E64901">
      <w:pPr>
        <w:rPr>
          <w:sz w:val="28"/>
          <w:szCs w:val="28"/>
          <w:u w:val="single"/>
        </w:rPr>
      </w:pPr>
    </w:p>
    <w:p w:rsidR="00D63450" w:rsidRPr="00F81B8B" w:rsidRDefault="00D63450" w:rsidP="00D63450">
      <w:pPr>
        <w:shd w:val="clear" w:color="auto" w:fill="FFFFFF"/>
        <w:jc w:val="both"/>
        <w:rPr>
          <w:rFonts w:eastAsia="Calibri"/>
          <w:sz w:val="24"/>
          <w:szCs w:val="24"/>
        </w:rPr>
      </w:pPr>
      <w:r w:rsidRPr="00F81B8B">
        <w:rPr>
          <w:sz w:val="24"/>
          <w:szCs w:val="24"/>
          <w:lang w:val="es-ES"/>
        </w:rPr>
        <w:t xml:space="preserve">En la formación docente se hace imprescindible generar un ámbito para la reflexión crítica del proceso enseñanza y aprendizaje, esto será posible sólo </w:t>
      </w:r>
      <w:r w:rsidRPr="00F81B8B">
        <w:rPr>
          <w:sz w:val="24"/>
          <w:szCs w:val="24"/>
        </w:rPr>
        <w:t xml:space="preserve">con los aportes de diferentes disciplinas, las cuales configuran el campo de estudio del profesorado. Desde esta perspectiva, </w:t>
      </w:r>
      <w:r w:rsidRPr="00F81B8B">
        <w:rPr>
          <w:sz w:val="24"/>
          <w:szCs w:val="24"/>
          <w:lang w:val="es-ES"/>
        </w:rPr>
        <w:t>l</w:t>
      </w:r>
      <w:r w:rsidRPr="00F81B8B">
        <w:rPr>
          <w:sz w:val="24"/>
          <w:szCs w:val="24"/>
        </w:rPr>
        <w:t>a cátedra busca aportar al desarrollo de una actitud crítica y reflexiva acerca de la educación y el papel que el sistema educativo ha cumplido y cumple desde su conformación hasta la actualidad, es decir, a</w:t>
      </w:r>
      <w:r w:rsidRPr="00F81B8B">
        <w:rPr>
          <w:rFonts w:eastAsia="Calibri"/>
          <w:sz w:val="24"/>
          <w:szCs w:val="24"/>
        </w:rPr>
        <w:t>rticular ejes de discusión respecto de los desafíos que se le han planteado históricamente y en la actualidad al campo de la producción teórica de la Sociología de la Educación; en particular a aquellos referidos al problema de la producción y reproducción de la sociedad y a la contribución específica de la educación a esta cuestión.</w:t>
      </w:r>
    </w:p>
    <w:p w:rsidR="00D63450" w:rsidRDefault="00D63450" w:rsidP="00D63450">
      <w:pPr>
        <w:shd w:val="clear" w:color="auto" w:fill="FFFFFF"/>
        <w:ind w:firstLine="567"/>
        <w:jc w:val="both"/>
        <w:rPr>
          <w:rFonts w:eastAsia="Arial"/>
          <w:sz w:val="24"/>
          <w:szCs w:val="24"/>
        </w:rPr>
      </w:pPr>
      <w:r w:rsidRPr="00F81B8B">
        <w:rPr>
          <w:rFonts w:eastAsia="Calibri"/>
          <w:sz w:val="24"/>
          <w:szCs w:val="24"/>
        </w:rPr>
        <w:t>Es así, que dentro de este contexto la teoría se constituye en la herramienta para la transformación y, en este sentido, conocer la realidad educativa de un modo sistemático, permite interpretar sus condiciones y también sus límites. Entendiendo que esos mismos límites pueden convertirse en condiciones posibles de transformación social y educativa, desde posiciones críticas que no conciban al orden social como un orden natural sino básicamente como un orden injusto. De allí la importancia de analizar las contribuciones de los paradigmas socio-educativos críticos.</w:t>
      </w:r>
      <w:r w:rsidRPr="00F81B8B">
        <w:rPr>
          <w:rFonts w:eastAsia="Arial"/>
          <w:sz w:val="24"/>
          <w:szCs w:val="24"/>
        </w:rPr>
        <w:t xml:space="preserve"> </w:t>
      </w:r>
    </w:p>
    <w:p w:rsidR="00D63450" w:rsidRDefault="00D63450" w:rsidP="00E64901">
      <w:pPr>
        <w:rPr>
          <w:sz w:val="28"/>
          <w:szCs w:val="28"/>
          <w:u w:val="single"/>
        </w:rPr>
      </w:pPr>
    </w:p>
    <w:p w:rsidR="0082442F" w:rsidRPr="002F4FD3" w:rsidRDefault="0082442F" w:rsidP="0082442F">
      <w:pPr>
        <w:rPr>
          <w:b/>
          <w:sz w:val="24"/>
          <w:szCs w:val="24"/>
          <w:u w:val="single"/>
          <w:lang w:val="es-ES_tradnl"/>
        </w:rPr>
      </w:pPr>
      <w:r w:rsidRPr="002F4FD3">
        <w:rPr>
          <w:b/>
          <w:sz w:val="24"/>
          <w:szCs w:val="24"/>
          <w:u w:val="single"/>
          <w:lang w:val="es-ES_tradnl"/>
        </w:rPr>
        <w:t>SABERES</w:t>
      </w:r>
    </w:p>
    <w:p w:rsidR="0082442F" w:rsidRPr="002F4FD3" w:rsidRDefault="0082442F" w:rsidP="0082442F">
      <w:pPr>
        <w:rPr>
          <w:b/>
          <w:sz w:val="16"/>
          <w:szCs w:val="16"/>
          <w:u w:val="single"/>
          <w:lang w:val="es-ES_tradnl"/>
        </w:rPr>
      </w:pPr>
    </w:p>
    <w:p w:rsidR="0082442F" w:rsidRPr="002F4FD3" w:rsidRDefault="0082442F" w:rsidP="0082442F">
      <w:pPr>
        <w:jc w:val="both"/>
        <w:rPr>
          <w:b/>
          <w:sz w:val="24"/>
          <w:szCs w:val="24"/>
          <w:u w:val="single"/>
        </w:rPr>
      </w:pPr>
      <w:r w:rsidRPr="002F4FD3">
        <w:rPr>
          <w:b/>
          <w:sz w:val="24"/>
          <w:szCs w:val="24"/>
          <w:u w:val="single"/>
        </w:rPr>
        <w:t xml:space="preserve">UNIDAD Nº </w:t>
      </w:r>
      <w:r w:rsidRPr="002F4FD3">
        <w:rPr>
          <w:rFonts w:eastAsia="Calibri"/>
          <w:b/>
          <w:sz w:val="24"/>
          <w:szCs w:val="24"/>
          <w:u w:val="single"/>
        </w:rPr>
        <w:t>I: La Sociología de la Educación y su campo de estudio</w:t>
      </w:r>
    </w:p>
    <w:p w:rsidR="0082442F" w:rsidRDefault="0082442F" w:rsidP="0082442F">
      <w:pPr>
        <w:jc w:val="both"/>
        <w:rPr>
          <w:rFonts w:eastAsia="Calibri"/>
          <w:bCs/>
          <w:sz w:val="24"/>
          <w:szCs w:val="24"/>
        </w:rPr>
      </w:pPr>
      <w:r>
        <w:rPr>
          <w:rFonts w:eastAsia="Calibri"/>
          <w:sz w:val="24"/>
          <w:szCs w:val="24"/>
        </w:rPr>
        <w:t xml:space="preserve">Sociología: </w:t>
      </w:r>
      <w:r w:rsidRPr="002F4FD3">
        <w:rPr>
          <w:rFonts w:eastAsia="Calibri"/>
          <w:sz w:val="24"/>
          <w:szCs w:val="24"/>
        </w:rPr>
        <w:t>objeto de estudio, su alcance disciplinar.</w:t>
      </w:r>
      <w:r>
        <w:rPr>
          <w:rFonts w:eastAsia="Calibri"/>
          <w:sz w:val="24"/>
          <w:szCs w:val="24"/>
        </w:rPr>
        <w:t xml:space="preserve"> </w:t>
      </w:r>
      <w:r w:rsidRPr="002F4FD3">
        <w:rPr>
          <w:rFonts w:eastAsia="Calibri"/>
          <w:sz w:val="24"/>
          <w:szCs w:val="24"/>
        </w:rPr>
        <w:t>Sociología</w:t>
      </w:r>
      <w:r>
        <w:rPr>
          <w:rFonts w:eastAsia="Calibri"/>
          <w:sz w:val="24"/>
          <w:szCs w:val="24"/>
        </w:rPr>
        <w:t xml:space="preserve"> del Consenso y </w:t>
      </w:r>
      <w:r w:rsidRPr="002F4FD3">
        <w:rPr>
          <w:rFonts w:eastAsia="Calibri"/>
          <w:sz w:val="24"/>
          <w:szCs w:val="24"/>
        </w:rPr>
        <w:t>Sociología</w:t>
      </w:r>
      <w:r>
        <w:rPr>
          <w:rFonts w:eastAsia="Calibri"/>
          <w:sz w:val="24"/>
          <w:szCs w:val="24"/>
        </w:rPr>
        <w:t xml:space="preserve"> del Conflicto. Relación educación sociedad en el pensamiento de los clásicos. </w:t>
      </w:r>
      <w:r w:rsidRPr="002F4FD3">
        <w:rPr>
          <w:rFonts w:eastAsia="Calibri"/>
          <w:sz w:val="24"/>
          <w:szCs w:val="24"/>
        </w:rPr>
        <w:t>Sociología</w:t>
      </w:r>
      <w:r>
        <w:rPr>
          <w:rFonts w:eastAsia="Calibri"/>
          <w:sz w:val="24"/>
          <w:szCs w:val="24"/>
        </w:rPr>
        <w:t xml:space="preserve"> de la Educación</w:t>
      </w:r>
      <w:r w:rsidRPr="002F4FD3">
        <w:rPr>
          <w:rFonts w:eastAsia="Calibri"/>
          <w:sz w:val="24"/>
          <w:szCs w:val="24"/>
        </w:rPr>
        <w:t>: surgimiento y objeto de estudio</w:t>
      </w:r>
      <w:r>
        <w:rPr>
          <w:rFonts w:eastAsia="Calibri"/>
          <w:sz w:val="24"/>
          <w:szCs w:val="24"/>
        </w:rPr>
        <w:t xml:space="preserve"> y problemática. </w:t>
      </w:r>
      <w:r w:rsidRPr="002F4FD3">
        <w:rPr>
          <w:rFonts w:eastAsia="Calibri"/>
          <w:sz w:val="24"/>
          <w:szCs w:val="24"/>
        </w:rPr>
        <w:t xml:space="preserve">El sentido de la Sociología de la Educación en la formación docente. </w:t>
      </w:r>
      <w:r w:rsidRPr="002F4FD3">
        <w:rPr>
          <w:rFonts w:eastAsia="Calibri"/>
          <w:bCs/>
          <w:sz w:val="24"/>
          <w:szCs w:val="24"/>
        </w:rPr>
        <w:t xml:space="preserve">Enfoques Sociológicos de la Educación: sociología dominante, sociología crítica y sociología emergente. </w:t>
      </w:r>
    </w:p>
    <w:p w:rsidR="0082442F" w:rsidRPr="002F4FD3" w:rsidRDefault="0082442F" w:rsidP="0082442F">
      <w:pPr>
        <w:pStyle w:val="Normal1"/>
        <w:jc w:val="both"/>
        <w:rPr>
          <w:rFonts w:eastAsia="Arial"/>
          <w:b/>
          <w:szCs w:val="24"/>
          <w:u w:val="single"/>
        </w:rPr>
      </w:pPr>
      <w:r w:rsidRPr="002F4FD3">
        <w:rPr>
          <w:rFonts w:eastAsia="Arial"/>
          <w:b/>
          <w:szCs w:val="24"/>
          <w:u w:val="single"/>
        </w:rPr>
        <w:t>BIBLIOGRAFÍA </w:t>
      </w:r>
    </w:p>
    <w:p w:rsidR="0082442F" w:rsidRPr="002F4FD3" w:rsidRDefault="0082442F" w:rsidP="0082442F">
      <w:pPr>
        <w:pStyle w:val="Normal1"/>
        <w:jc w:val="both"/>
        <w:rPr>
          <w:rFonts w:eastAsia="Arial"/>
          <w:b/>
          <w:szCs w:val="24"/>
          <w:u w:val="single"/>
        </w:rPr>
      </w:pPr>
    </w:p>
    <w:p w:rsidR="0082442F" w:rsidRPr="00815424" w:rsidRDefault="0082442F" w:rsidP="0082442F">
      <w:pPr>
        <w:widowControl/>
        <w:numPr>
          <w:ilvl w:val="0"/>
          <w:numId w:val="2"/>
        </w:numPr>
        <w:tabs>
          <w:tab w:val="clear" w:pos="720"/>
          <w:tab w:val="num" w:pos="180"/>
          <w:tab w:val="left" w:pos="360"/>
        </w:tabs>
        <w:autoSpaceDE/>
        <w:autoSpaceDN/>
        <w:adjustRightInd/>
        <w:ind w:hanging="720"/>
        <w:jc w:val="both"/>
        <w:rPr>
          <w:sz w:val="24"/>
          <w:szCs w:val="24"/>
        </w:rPr>
      </w:pPr>
      <w:r w:rsidRPr="00815424">
        <w:rPr>
          <w:sz w:val="24"/>
          <w:szCs w:val="24"/>
        </w:rPr>
        <w:t xml:space="preserve">BRIGIDO, Ana María (2000). Sociología de </w:t>
      </w:r>
      <w:smartTag w:uri="urn:schemas-microsoft-com:office:smarttags" w:element="PersonName">
        <w:smartTagPr>
          <w:attr w:name="ProductID" w:val="la Educaci￳n. Bs."/>
        </w:smartTagPr>
        <w:r w:rsidRPr="00815424">
          <w:rPr>
            <w:sz w:val="24"/>
            <w:szCs w:val="24"/>
          </w:rPr>
          <w:t>la Educación. Bs.</w:t>
        </w:r>
      </w:smartTag>
      <w:r w:rsidRPr="00815424">
        <w:rPr>
          <w:sz w:val="24"/>
          <w:szCs w:val="24"/>
        </w:rPr>
        <w:t xml:space="preserve"> As. Editorial </w:t>
      </w:r>
      <w:r>
        <w:rPr>
          <w:sz w:val="24"/>
          <w:szCs w:val="24"/>
        </w:rPr>
        <w:t xml:space="preserve">Docencias. Capítulo 1 y 2. </w:t>
      </w:r>
    </w:p>
    <w:p w:rsidR="00E64901" w:rsidRDefault="00E64901" w:rsidP="0082442F">
      <w:pPr>
        <w:shd w:val="clear" w:color="auto" w:fill="FFFFFF"/>
        <w:jc w:val="both"/>
        <w:rPr>
          <w:rFonts w:eastAsia="Calibri"/>
          <w:bCs/>
          <w:sz w:val="24"/>
          <w:szCs w:val="24"/>
        </w:rPr>
      </w:pPr>
    </w:p>
    <w:p w:rsidR="0082442F" w:rsidRPr="00511612" w:rsidRDefault="0082442F" w:rsidP="0082442F">
      <w:pPr>
        <w:shd w:val="clear" w:color="auto" w:fill="FFFFFF"/>
        <w:jc w:val="both"/>
        <w:rPr>
          <w:b/>
          <w:sz w:val="24"/>
          <w:szCs w:val="24"/>
          <w:u w:val="single"/>
        </w:rPr>
      </w:pPr>
      <w:r w:rsidRPr="00511612">
        <w:rPr>
          <w:b/>
          <w:sz w:val="24"/>
          <w:szCs w:val="24"/>
          <w:u w:val="single"/>
        </w:rPr>
        <w:t xml:space="preserve">UNIDAD Nº 2: Función de la educación en la sociedad </w:t>
      </w:r>
    </w:p>
    <w:p w:rsidR="0082442F" w:rsidRDefault="0082442F" w:rsidP="0082442F">
      <w:pPr>
        <w:shd w:val="clear" w:color="auto" w:fill="FFFFFF"/>
        <w:jc w:val="both"/>
        <w:rPr>
          <w:sz w:val="24"/>
          <w:szCs w:val="24"/>
        </w:rPr>
      </w:pPr>
      <w:r w:rsidRPr="00511612">
        <w:rPr>
          <w:sz w:val="24"/>
          <w:szCs w:val="24"/>
        </w:rPr>
        <w:t xml:space="preserve">Distintas perspectivas teóricas. Teoría de la Correspondencia. Teoría de la Reproducción (Social y Cultural). Teoría de la Resistencia. Relación Educación, Estado y Sociedad. </w:t>
      </w:r>
      <w:r w:rsidRPr="00511612">
        <w:rPr>
          <w:rFonts w:eastAsia="Calibri"/>
          <w:bCs/>
          <w:sz w:val="24"/>
          <w:szCs w:val="24"/>
        </w:rPr>
        <w:t xml:space="preserve">Mecanismos de socialización: socialización primaria y secundaria. Agentes socializadores: Familia, Escuela, Grupo de pares y medios masivos de comunicación. El </w:t>
      </w:r>
      <w:r w:rsidRPr="00511612">
        <w:rPr>
          <w:rFonts w:eastAsia="Calibri"/>
          <w:bCs/>
          <w:sz w:val="24"/>
          <w:szCs w:val="24"/>
        </w:rPr>
        <w:lastRenderedPageBreak/>
        <w:t xml:space="preserve">papel de los Medios Masivos de Comunicación en la sociedad actual. Socialización, educación y reproducción cultural.  La educación como espacio de resistencia y transformación social. </w:t>
      </w:r>
      <w:r w:rsidRPr="00511612">
        <w:rPr>
          <w:rFonts w:eastAsia="Calibri"/>
          <w:sz w:val="24"/>
          <w:szCs w:val="24"/>
        </w:rPr>
        <w:t xml:space="preserve">La construcción de la realidad social.  La escuela como agente socializador: </w:t>
      </w:r>
      <w:r w:rsidRPr="00511612">
        <w:rPr>
          <w:rFonts w:eastAsia="Calibri"/>
          <w:bCs/>
          <w:sz w:val="24"/>
          <w:szCs w:val="24"/>
        </w:rPr>
        <w:t xml:space="preserve">el carácter plural y complejo del proceso de socialización en la escuela. </w:t>
      </w:r>
      <w:r w:rsidRPr="00511612">
        <w:rPr>
          <w:rFonts w:eastAsia="Calibri"/>
          <w:sz w:val="24"/>
          <w:szCs w:val="24"/>
        </w:rPr>
        <w:t xml:space="preserve">La educación como asunto de Estado. </w:t>
      </w:r>
      <w:r w:rsidRPr="00511612">
        <w:rPr>
          <w:sz w:val="24"/>
          <w:szCs w:val="24"/>
        </w:rPr>
        <w:t>Cambios culturales, sociales, económicos, políticos, tecnológicos y su relación con los nuevos contextos educativos: necesidades básicas de aprendizaje. Problemáticas sociales que atraviesan a la escuela/educación: pobreza, desigualdades, discriminación, violencia, entre otras. La condición docente: la construcción histórica y social del oficio de enseñar. Estado actual del debate acerca de la profesionalización, vocación y politización.</w:t>
      </w:r>
    </w:p>
    <w:p w:rsidR="0082442F" w:rsidRDefault="0082442F" w:rsidP="0082442F">
      <w:pPr>
        <w:shd w:val="clear" w:color="auto" w:fill="FFFFFF"/>
        <w:jc w:val="both"/>
        <w:rPr>
          <w:sz w:val="24"/>
          <w:szCs w:val="24"/>
        </w:rPr>
      </w:pPr>
    </w:p>
    <w:p w:rsidR="0082442F" w:rsidRDefault="0082442F" w:rsidP="0082442F">
      <w:pPr>
        <w:pStyle w:val="Normal1"/>
        <w:jc w:val="both"/>
        <w:rPr>
          <w:rFonts w:eastAsia="Arial"/>
          <w:b/>
          <w:szCs w:val="24"/>
          <w:u w:val="single"/>
        </w:rPr>
      </w:pPr>
      <w:r w:rsidRPr="002F4FD3">
        <w:rPr>
          <w:rFonts w:eastAsia="Arial"/>
          <w:b/>
          <w:szCs w:val="24"/>
          <w:u w:val="single"/>
        </w:rPr>
        <w:t>BIBLIOGRAFÍA </w:t>
      </w:r>
    </w:p>
    <w:p w:rsidR="0082442F" w:rsidRPr="00511612" w:rsidRDefault="0082442F" w:rsidP="0082442F">
      <w:pPr>
        <w:pStyle w:val="Normal1"/>
        <w:jc w:val="both"/>
        <w:rPr>
          <w:rFonts w:eastAsia="Arial"/>
          <w:b/>
          <w:szCs w:val="24"/>
          <w:u w:val="single"/>
        </w:rPr>
      </w:pPr>
    </w:p>
    <w:p w:rsidR="0082442F" w:rsidRDefault="0082442F" w:rsidP="0082442F">
      <w:pPr>
        <w:widowControl/>
        <w:numPr>
          <w:ilvl w:val="0"/>
          <w:numId w:val="2"/>
        </w:numPr>
        <w:tabs>
          <w:tab w:val="clear" w:pos="720"/>
          <w:tab w:val="num" w:pos="180"/>
          <w:tab w:val="left" w:pos="360"/>
        </w:tabs>
        <w:autoSpaceDE/>
        <w:autoSpaceDN/>
        <w:adjustRightInd/>
        <w:ind w:hanging="720"/>
        <w:jc w:val="both"/>
        <w:rPr>
          <w:sz w:val="24"/>
          <w:szCs w:val="24"/>
        </w:rPr>
      </w:pPr>
      <w:r w:rsidRPr="00815424">
        <w:rPr>
          <w:sz w:val="24"/>
          <w:szCs w:val="24"/>
        </w:rPr>
        <w:t xml:space="preserve">BRIGIDO, Ana María (2000). Sociología de </w:t>
      </w:r>
      <w:smartTag w:uri="urn:schemas-microsoft-com:office:smarttags" w:element="PersonName">
        <w:smartTagPr>
          <w:attr w:name="ProductID" w:val="la Educaci￳n. Bs."/>
        </w:smartTagPr>
        <w:r w:rsidRPr="00815424">
          <w:rPr>
            <w:sz w:val="24"/>
            <w:szCs w:val="24"/>
          </w:rPr>
          <w:t>la Educación. Bs.</w:t>
        </w:r>
      </w:smartTag>
      <w:r w:rsidRPr="00815424">
        <w:rPr>
          <w:sz w:val="24"/>
          <w:szCs w:val="24"/>
        </w:rPr>
        <w:t xml:space="preserve"> As. Editorial </w:t>
      </w:r>
      <w:r>
        <w:rPr>
          <w:sz w:val="24"/>
          <w:szCs w:val="24"/>
        </w:rPr>
        <w:t xml:space="preserve">Docencias. Capítulo 4, 6, 14 y 15. </w:t>
      </w:r>
    </w:p>
    <w:p w:rsidR="0082442F" w:rsidRDefault="0082442F" w:rsidP="0082442F">
      <w:pPr>
        <w:widowControl/>
        <w:numPr>
          <w:ilvl w:val="0"/>
          <w:numId w:val="2"/>
        </w:numPr>
        <w:tabs>
          <w:tab w:val="clear" w:pos="720"/>
          <w:tab w:val="num" w:pos="180"/>
          <w:tab w:val="left" w:pos="360"/>
        </w:tabs>
        <w:autoSpaceDE/>
        <w:autoSpaceDN/>
        <w:adjustRightInd/>
        <w:ind w:hanging="720"/>
        <w:jc w:val="both"/>
        <w:rPr>
          <w:sz w:val="24"/>
          <w:szCs w:val="24"/>
        </w:rPr>
      </w:pPr>
      <w:r w:rsidRPr="002942A2">
        <w:rPr>
          <w:sz w:val="24"/>
          <w:szCs w:val="24"/>
          <w:lang w:val="en-US"/>
        </w:rPr>
        <w:t xml:space="preserve">DUSSEL </w:t>
      </w:r>
      <w:proofErr w:type="spellStart"/>
      <w:r w:rsidRPr="002942A2">
        <w:rPr>
          <w:sz w:val="24"/>
          <w:szCs w:val="24"/>
          <w:lang w:val="en-US"/>
        </w:rPr>
        <w:t>Inés</w:t>
      </w:r>
      <w:proofErr w:type="spellEnd"/>
      <w:r w:rsidRPr="002942A2">
        <w:rPr>
          <w:sz w:val="24"/>
          <w:szCs w:val="24"/>
          <w:lang w:val="en-US"/>
        </w:rPr>
        <w:t xml:space="preserve"> y SOUTHWELL </w:t>
      </w:r>
      <w:proofErr w:type="spellStart"/>
      <w:r w:rsidRPr="002942A2">
        <w:rPr>
          <w:sz w:val="24"/>
          <w:szCs w:val="24"/>
          <w:lang w:val="en-US"/>
        </w:rPr>
        <w:t>Myriam</w:t>
      </w:r>
      <w:proofErr w:type="spellEnd"/>
      <w:r w:rsidRPr="002942A2">
        <w:rPr>
          <w:sz w:val="24"/>
          <w:szCs w:val="24"/>
          <w:lang w:val="en-US"/>
        </w:rPr>
        <w:t xml:space="preserve"> (2004). </w:t>
      </w:r>
      <w:hyperlink r:id="rId5" w:history="1">
        <w:r w:rsidRPr="0004658B">
          <w:rPr>
            <w:rStyle w:val="Hipervnculo"/>
            <w:sz w:val="24"/>
            <w:szCs w:val="24"/>
          </w:rPr>
          <w:t>La escuela y la igualdad: renovar la apuesta</w:t>
        </w:r>
      </w:hyperlink>
      <w:r w:rsidRPr="0004658B">
        <w:rPr>
          <w:sz w:val="24"/>
          <w:szCs w:val="24"/>
        </w:rPr>
        <w:t xml:space="preserve">. En Revista Monitor N°1 –V época. Octubre. </w:t>
      </w:r>
      <w:hyperlink r:id="rId6" w:history="1">
        <w:r w:rsidRPr="0004658B">
          <w:rPr>
            <w:rStyle w:val="Hipervnculo"/>
            <w:sz w:val="24"/>
            <w:szCs w:val="24"/>
          </w:rPr>
          <w:t>http://www.me.gov.ar/monitor/nro1/dossier.htm</w:t>
        </w:r>
      </w:hyperlink>
    </w:p>
    <w:p w:rsidR="0082442F" w:rsidRDefault="0082442F" w:rsidP="0082442F">
      <w:pPr>
        <w:widowControl/>
        <w:numPr>
          <w:ilvl w:val="0"/>
          <w:numId w:val="2"/>
        </w:numPr>
        <w:tabs>
          <w:tab w:val="clear" w:pos="720"/>
          <w:tab w:val="num" w:pos="180"/>
          <w:tab w:val="left" w:pos="360"/>
        </w:tabs>
        <w:autoSpaceDE/>
        <w:autoSpaceDN/>
        <w:adjustRightInd/>
        <w:ind w:hanging="720"/>
        <w:jc w:val="both"/>
        <w:rPr>
          <w:sz w:val="24"/>
          <w:szCs w:val="24"/>
        </w:rPr>
      </w:pPr>
      <w:r w:rsidRPr="00511612">
        <w:rPr>
          <w:sz w:val="24"/>
          <w:szCs w:val="24"/>
        </w:rPr>
        <w:t xml:space="preserve">TENTI FANFANI, Emilio. (2009) Sociología de la educación. Universidad Nacional de Quilmes. Buenos Aires. </w:t>
      </w:r>
      <w:r>
        <w:rPr>
          <w:sz w:val="24"/>
          <w:szCs w:val="24"/>
        </w:rPr>
        <w:t xml:space="preserve">Capítulos 2, 3 y 5. </w:t>
      </w:r>
    </w:p>
    <w:p w:rsidR="0082442F" w:rsidRPr="0016716D" w:rsidRDefault="0082442F" w:rsidP="0082442F">
      <w:pPr>
        <w:widowControl/>
        <w:numPr>
          <w:ilvl w:val="0"/>
          <w:numId w:val="2"/>
        </w:numPr>
        <w:tabs>
          <w:tab w:val="clear" w:pos="720"/>
          <w:tab w:val="num" w:pos="180"/>
          <w:tab w:val="left" w:pos="360"/>
        </w:tabs>
        <w:autoSpaceDE/>
        <w:autoSpaceDN/>
        <w:adjustRightInd/>
        <w:ind w:hanging="720"/>
        <w:jc w:val="both"/>
        <w:rPr>
          <w:bCs/>
          <w:color w:val="000000"/>
          <w:sz w:val="24"/>
          <w:szCs w:val="24"/>
          <w:lang w:eastAsia="es-ES"/>
        </w:rPr>
      </w:pPr>
      <w:r w:rsidRPr="0016716D">
        <w:rPr>
          <w:sz w:val="24"/>
          <w:szCs w:val="24"/>
        </w:rPr>
        <w:t xml:space="preserve">TENTI FANFANI, Emilio (2007). Consideraciones sociológicas sobre profesionalización docente. </w:t>
      </w:r>
      <w:proofErr w:type="spellStart"/>
      <w:r w:rsidRPr="0016716D">
        <w:rPr>
          <w:sz w:val="24"/>
          <w:szCs w:val="24"/>
        </w:rPr>
        <w:t>Educação</w:t>
      </w:r>
      <w:proofErr w:type="spellEnd"/>
      <w:r w:rsidRPr="0016716D">
        <w:rPr>
          <w:sz w:val="24"/>
          <w:szCs w:val="24"/>
        </w:rPr>
        <w:t xml:space="preserve"> &amp; </w:t>
      </w:r>
      <w:proofErr w:type="spellStart"/>
      <w:r w:rsidRPr="0016716D">
        <w:rPr>
          <w:sz w:val="24"/>
          <w:szCs w:val="24"/>
        </w:rPr>
        <w:t>Sociedade</w:t>
      </w:r>
      <w:proofErr w:type="spellEnd"/>
      <w:r w:rsidRPr="0016716D">
        <w:rPr>
          <w:sz w:val="24"/>
          <w:szCs w:val="24"/>
        </w:rPr>
        <w:t xml:space="preserve">, vol. 28, núm. 99, mayo-agosto. Centro de Estudios </w:t>
      </w:r>
      <w:proofErr w:type="spellStart"/>
      <w:r w:rsidRPr="0016716D">
        <w:rPr>
          <w:sz w:val="24"/>
          <w:szCs w:val="24"/>
        </w:rPr>
        <w:t>Educação</w:t>
      </w:r>
      <w:proofErr w:type="spellEnd"/>
      <w:r w:rsidRPr="0016716D">
        <w:rPr>
          <w:sz w:val="24"/>
          <w:szCs w:val="24"/>
        </w:rPr>
        <w:t xml:space="preserve"> e </w:t>
      </w:r>
      <w:proofErr w:type="spellStart"/>
      <w:r w:rsidRPr="0016716D">
        <w:rPr>
          <w:sz w:val="24"/>
          <w:szCs w:val="24"/>
        </w:rPr>
        <w:t>Sociedade</w:t>
      </w:r>
      <w:proofErr w:type="spellEnd"/>
      <w:r w:rsidRPr="0016716D">
        <w:rPr>
          <w:sz w:val="24"/>
          <w:szCs w:val="24"/>
        </w:rPr>
        <w:t xml:space="preserve"> </w:t>
      </w:r>
      <w:proofErr w:type="spellStart"/>
      <w:r w:rsidRPr="0016716D">
        <w:rPr>
          <w:sz w:val="24"/>
          <w:szCs w:val="24"/>
        </w:rPr>
        <w:t>Campinas</w:t>
      </w:r>
      <w:proofErr w:type="spellEnd"/>
      <w:r w:rsidRPr="0016716D">
        <w:rPr>
          <w:sz w:val="24"/>
          <w:szCs w:val="24"/>
        </w:rPr>
        <w:t xml:space="preserve">, Brasil. </w:t>
      </w:r>
    </w:p>
    <w:p w:rsidR="0082442F" w:rsidRPr="0004658B" w:rsidRDefault="0082442F" w:rsidP="0082442F">
      <w:pPr>
        <w:widowControl/>
        <w:numPr>
          <w:ilvl w:val="0"/>
          <w:numId w:val="2"/>
        </w:numPr>
        <w:tabs>
          <w:tab w:val="clear" w:pos="720"/>
          <w:tab w:val="num" w:pos="180"/>
          <w:tab w:val="left" w:pos="360"/>
        </w:tabs>
        <w:autoSpaceDE/>
        <w:autoSpaceDN/>
        <w:adjustRightInd/>
        <w:ind w:hanging="720"/>
        <w:jc w:val="both"/>
        <w:rPr>
          <w:sz w:val="24"/>
          <w:szCs w:val="24"/>
        </w:rPr>
      </w:pPr>
      <w:r w:rsidRPr="00D42425">
        <w:rPr>
          <w:bCs/>
          <w:sz w:val="24"/>
          <w:szCs w:val="24"/>
        </w:rPr>
        <w:t>VARELA</w:t>
      </w:r>
      <w:r w:rsidRPr="00D42425">
        <w:rPr>
          <w:sz w:val="24"/>
          <w:szCs w:val="24"/>
        </w:rPr>
        <w:t xml:space="preserve">, </w:t>
      </w:r>
      <w:r w:rsidRPr="00D42425">
        <w:rPr>
          <w:bCs/>
          <w:sz w:val="24"/>
          <w:szCs w:val="24"/>
        </w:rPr>
        <w:t>Julia. Sociología de la Educación</w:t>
      </w:r>
      <w:r w:rsidRPr="00D42425">
        <w:rPr>
          <w:sz w:val="24"/>
          <w:szCs w:val="24"/>
        </w:rPr>
        <w:t xml:space="preserve">. </w:t>
      </w:r>
      <w:r w:rsidRPr="00D42425">
        <w:rPr>
          <w:bCs/>
          <w:sz w:val="24"/>
          <w:szCs w:val="24"/>
        </w:rPr>
        <w:t xml:space="preserve">Algunos modelos críticos. Universidad Complutense de Madrid. </w:t>
      </w:r>
      <w:hyperlink r:id="rId7" w:history="1">
        <w:r w:rsidRPr="0004658B">
          <w:rPr>
            <w:rStyle w:val="Hipervnculo"/>
            <w:sz w:val="24"/>
            <w:szCs w:val="24"/>
          </w:rPr>
          <w:t>http://webs.ucm.es/info/eurotheo/diccionario/E/educacion_sociologia.htm</w:t>
        </w:r>
      </w:hyperlink>
    </w:p>
    <w:p w:rsidR="0082442F" w:rsidRPr="00511612" w:rsidRDefault="0082442F" w:rsidP="0082442F">
      <w:pPr>
        <w:widowControl/>
        <w:tabs>
          <w:tab w:val="left" w:pos="360"/>
        </w:tabs>
        <w:autoSpaceDE/>
        <w:autoSpaceDN/>
        <w:adjustRightInd/>
        <w:ind w:left="720"/>
        <w:jc w:val="both"/>
        <w:rPr>
          <w:sz w:val="24"/>
          <w:szCs w:val="24"/>
        </w:rPr>
      </w:pPr>
    </w:p>
    <w:p w:rsidR="0082442F" w:rsidRPr="00DE40C2" w:rsidRDefault="0082442F" w:rsidP="0082442F">
      <w:pPr>
        <w:shd w:val="clear" w:color="auto" w:fill="FFFFFF"/>
        <w:jc w:val="both"/>
        <w:rPr>
          <w:sz w:val="24"/>
          <w:szCs w:val="24"/>
        </w:rPr>
      </w:pPr>
      <w:r w:rsidRPr="00DE40C2">
        <w:rPr>
          <w:b/>
          <w:sz w:val="24"/>
          <w:szCs w:val="24"/>
          <w:u w:val="single"/>
        </w:rPr>
        <w:t xml:space="preserve">UNIDAD </w:t>
      </w:r>
      <w:r w:rsidRPr="007112F7">
        <w:rPr>
          <w:b/>
          <w:sz w:val="24"/>
          <w:szCs w:val="24"/>
          <w:u w:val="single"/>
        </w:rPr>
        <w:t>Nº</w:t>
      </w:r>
      <w:r w:rsidRPr="007112F7">
        <w:rPr>
          <w:rFonts w:eastAsia="Arial"/>
          <w:b/>
          <w:sz w:val="24"/>
          <w:szCs w:val="24"/>
          <w:u w:val="single"/>
        </w:rPr>
        <w:t xml:space="preserve">  3: </w:t>
      </w:r>
      <w:r w:rsidRPr="007112F7">
        <w:rPr>
          <w:b/>
          <w:sz w:val="24"/>
          <w:szCs w:val="24"/>
          <w:u w:val="single"/>
        </w:rPr>
        <w:t>Hacia una Sociología de las Igualdades Escolares</w:t>
      </w:r>
      <w:r>
        <w:rPr>
          <w:sz w:val="24"/>
          <w:szCs w:val="24"/>
        </w:rPr>
        <w:t>.</w:t>
      </w:r>
    </w:p>
    <w:p w:rsidR="0082442F" w:rsidRDefault="0082442F" w:rsidP="0082442F">
      <w:pPr>
        <w:shd w:val="clear" w:color="auto" w:fill="FFFFFF"/>
        <w:jc w:val="both"/>
        <w:rPr>
          <w:sz w:val="24"/>
          <w:szCs w:val="24"/>
        </w:rPr>
      </w:pPr>
      <w:r w:rsidRPr="00DE40C2">
        <w:rPr>
          <w:sz w:val="24"/>
          <w:szCs w:val="24"/>
        </w:rPr>
        <w:t xml:space="preserve">Tensiones entre las determinaciones objetivas y las esperanzas subjetivas. La cuestión de quiénes son los alumnos desde sus dimensiones socioculturales. La construcción simbólica sobre la pobreza, la inteligencia y la violencia: las nominaciones escolares. Los estigmas sociales en la escuela. La experiencia escolar. Interacción docente alumno. Tipificaciones y expectativas recíprocas: el “Efecto </w:t>
      </w:r>
      <w:proofErr w:type="spellStart"/>
      <w:r w:rsidRPr="00DE40C2">
        <w:rPr>
          <w:sz w:val="24"/>
          <w:szCs w:val="24"/>
        </w:rPr>
        <w:t>Pygmalión</w:t>
      </w:r>
      <w:proofErr w:type="spellEnd"/>
      <w:r w:rsidRPr="00DE40C2">
        <w:rPr>
          <w:sz w:val="24"/>
          <w:szCs w:val="24"/>
        </w:rPr>
        <w:t>” y sus manifestaciones en la escuela. La construcción de las trayectorias estudiantiles: límites y posibilidades. Aportes de la escuela para mejorar las condiciones simbólicas de las trayectorias estudiantiles.</w:t>
      </w:r>
    </w:p>
    <w:p w:rsidR="0082442F" w:rsidRDefault="0082442F" w:rsidP="0082442F">
      <w:pPr>
        <w:pStyle w:val="Normal1"/>
        <w:jc w:val="both"/>
        <w:rPr>
          <w:rFonts w:eastAsia="Arial"/>
          <w:b/>
          <w:szCs w:val="24"/>
          <w:u w:val="single"/>
        </w:rPr>
      </w:pPr>
      <w:r w:rsidRPr="002F4FD3">
        <w:rPr>
          <w:rFonts w:eastAsia="Arial"/>
          <w:b/>
          <w:szCs w:val="24"/>
          <w:u w:val="single"/>
        </w:rPr>
        <w:t>BIBLIOGRAFÍA </w:t>
      </w:r>
    </w:p>
    <w:p w:rsidR="0082442F" w:rsidRPr="002F4FD3" w:rsidRDefault="0082442F" w:rsidP="0082442F">
      <w:pPr>
        <w:pStyle w:val="Normal1"/>
        <w:jc w:val="both"/>
        <w:rPr>
          <w:rFonts w:eastAsia="Arial"/>
          <w:b/>
          <w:szCs w:val="24"/>
          <w:u w:val="single"/>
        </w:rPr>
      </w:pPr>
    </w:p>
    <w:p w:rsidR="0082442F" w:rsidRPr="003475E8" w:rsidRDefault="0082442F" w:rsidP="0082442F">
      <w:pPr>
        <w:widowControl/>
        <w:numPr>
          <w:ilvl w:val="0"/>
          <w:numId w:val="2"/>
        </w:numPr>
        <w:tabs>
          <w:tab w:val="clear" w:pos="720"/>
          <w:tab w:val="num" w:pos="180"/>
          <w:tab w:val="left" w:pos="360"/>
        </w:tabs>
        <w:autoSpaceDE/>
        <w:autoSpaceDN/>
        <w:adjustRightInd/>
        <w:ind w:hanging="720"/>
        <w:jc w:val="both"/>
        <w:rPr>
          <w:sz w:val="24"/>
          <w:szCs w:val="24"/>
        </w:rPr>
      </w:pPr>
      <w:r w:rsidRPr="003475E8">
        <w:rPr>
          <w:sz w:val="24"/>
          <w:szCs w:val="24"/>
        </w:rPr>
        <w:t>CASTAÑEDA BERNAL, Elsa (2009). Las condiciones sociales para el aprendizaje en la relación equidad social y educación. En DE RELACIONES, ACTORES Y TERRITORIOS. Hacia nuevas políticas para la educación en América Latina. UNESCO.</w:t>
      </w:r>
    </w:p>
    <w:p w:rsidR="0082442F" w:rsidRPr="003475E8" w:rsidRDefault="0082442F" w:rsidP="0082442F">
      <w:pPr>
        <w:widowControl/>
        <w:numPr>
          <w:ilvl w:val="0"/>
          <w:numId w:val="2"/>
        </w:numPr>
        <w:tabs>
          <w:tab w:val="clear" w:pos="720"/>
          <w:tab w:val="num" w:pos="180"/>
          <w:tab w:val="left" w:pos="360"/>
        </w:tabs>
        <w:autoSpaceDE/>
        <w:autoSpaceDN/>
        <w:adjustRightInd/>
        <w:ind w:hanging="720"/>
        <w:jc w:val="both"/>
        <w:rPr>
          <w:sz w:val="24"/>
          <w:szCs w:val="24"/>
        </w:rPr>
      </w:pPr>
      <w:proofErr w:type="spellStart"/>
      <w:r w:rsidRPr="003475E8">
        <w:rPr>
          <w:sz w:val="24"/>
          <w:szCs w:val="24"/>
        </w:rPr>
        <w:t>Kaplan</w:t>
      </w:r>
      <w:proofErr w:type="spellEnd"/>
      <w:r w:rsidRPr="003475E8">
        <w:rPr>
          <w:sz w:val="24"/>
          <w:szCs w:val="24"/>
        </w:rPr>
        <w:t xml:space="preserve"> </w:t>
      </w:r>
      <w:proofErr w:type="gramStart"/>
      <w:r w:rsidRPr="003475E8">
        <w:rPr>
          <w:sz w:val="24"/>
          <w:szCs w:val="24"/>
        </w:rPr>
        <w:t>Carina(</w:t>
      </w:r>
      <w:proofErr w:type="spellStart"/>
      <w:proofErr w:type="gramEnd"/>
      <w:r w:rsidRPr="003475E8">
        <w:rPr>
          <w:sz w:val="24"/>
          <w:szCs w:val="24"/>
        </w:rPr>
        <w:t>sf</w:t>
      </w:r>
      <w:proofErr w:type="spellEnd"/>
      <w:r w:rsidRPr="003475E8">
        <w:rPr>
          <w:sz w:val="24"/>
          <w:szCs w:val="24"/>
        </w:rPr>
        <w:t xml:space="preserve">.). La experiencia escolar inclusiva como respuesta a la exclusión. En </w:t>
      </w:r>
      <w:hyperlink r:id="rId8" w:history="1">
        <w:r w:rsidRPr="003475E8">
          <w:rPr>
            <w:rStyle w:val="Hipervnculo"/>
            <w:sz w:val="24"/>
            <w:szCs w:val="24"/>
          </w:rPr>
          <w:t>https://cedoc.infd.edu.ar/upload/la_experiencia_escolar.pdf</w:t>
        </w:r>
      </w:hyperlink>
    </w:p>
    <w:p w:rsidR="0082442F" w:rsidRPr="003475E8" w:rsidRDefault="0082442F" w:rsidP="0082442F">
      <w:pPr>
        <w:widowControl/>
        <w:numPr>
          <w:ilvl w:val="0"/>
          <w:numId w:val="2"/>
        </w:numPr>
        <w:tabs>
          <w:tab w:val="clear" w:pos="720"/>
          <w:tab w:val="num" w:pos="180"/>
          <w:tab w:val="left" w:pos="360"/>
        </w:tabs>
        <w:autoSpaceDE/>
        <w:autoSpaceDN/>
        <w:adjustRightInd/>
        <w:ind w:hanging="720"/>
        <w:jc w:val="both"/>
        <w:rPr>
          <w:sz w:val="24"/>
          <w:szCs w:val="24"/>
        </w:rPr>
      </w:pPr>
      <w:r w:rsidRPr="003475E8">
        <w:rPr>
          <w:sz w:val="24"/>
          <w:szCs w:val="24"/>
        </w:rPr>
        <w:t xml:space="preserve">TERIGI, </w:t>
      </w:r>
      <w:proofErr w:type="spellStart"/>
      <w:r w:rsidRPr="003475E8">
        <w:rPr>
          <w:sz w:val="24"/>
          <w:szCs w:val="24"/>
        </w:rPr>
        <w:t>Flavia</w:t>
      </w:r>
      <w:proofErr w:type="spellEnd"/>
      <w:r w:rsidRPr="003475E8">
        <w:rPr>
          <w:sz w:val="24"/>
          <w:szCs w:val="24"/>
        </w:rPr>
        <w:t xml:space="preserve"> (2007). Los desafíos que plantean las trayectorias escolares. FUNDACIÓN SANTILLANA III Foro Latinoamericano de Educación Jóvenes y docentes. La escuela secundaria en el mundo de hoy. 28, 29 y 30 de mayo. </w:t>
      </w:r>
      <w:hyperlink r:id="rId9" w:history="1">
        <w:r w:rsidRPr="003475E8">
          <w:rPr>
            <w:rStyle w:val="Hipervnculo"/>
            <w:sz w:val="24"/>
            <w:szCs w:val="24"/>
          </w:rPr>
          <w:t>http://www.ieo.edu.ar/promedu/trayescolar/desafios.pdf</w:t>
        </w:r>
      </w:hyperlink>
    </w:p>
    <w:p w:rsidR="00E64901" w:rsidRDefault="00E64901" w:rsidP="0082442F">
      <w:pPr>
        <w:spacing w:line="360" w:lineRule="auto"/>
        <w:jc w:val="both"/>
        <w:rPr>
          <w:sz w:val="24"/>
          <w:szCs w:val="24"/>
        </w:rPr>
      </w:pPr>
    </w:p>
    <w:p w:rsidR="0082442F" w:rsidRPr="002F4FD3" w:rsidRDefault="0082442F" w:rsidP="0082442F">
      <w:pPr>
        <w:shd w:val="clear" w:color="auto" w:fill="FFFFFF"/>
        <w:spacing w:line="288" w:lineRule="exact"/>
        <w:ind w:right="44"/>
        <w:jc w:val="both"/>
        <w:rPr>
          <w:sz w:val="16"/>
          <w:szCs w:val="16"/>
        </w:rPr>
      </w:pPr>
    </w:p>
    <w:p w:rsidR="004047BD" w:rsidRPr="00D23C04" w:rsidRDefault="004047BD" w:rsidP="004047BD">
      <w:pPr>
        <w:spacing w:line="360" w:lineRule="auto"/>
        <w:jc w:val="both"/>
        <w:rPr>
          <w:b/>
          <w:sz w:val="24"/>
          <w:szCs w:val="24"/>
          <w:u w:val="single"/>
        </w:rPr>
      </w:pPr>
      <w:r w:rsidRPr="00462516">
        <w:rPr>
          <w:b/>
          <w:sz w:val="24"/>
          <w:szCs w:val="24"/>
          <w:u w:val="single"/>
        </w:rPr>
        <w:lastRenderedPageBreak/>
        <w:t>CRITERIOS DE EVALUACIÓN</w:t>
      </w:r>
      <w:r>
        <w:rPr>
          <w:b/>
          <w:sz w:val="24"/>
          <w:szCs w:val="24"/>
          <w:u w:val="single"/>
        </w:rPr>
        <w:t>:</w:t>
      </w:r>
      <w:r w:rsidRPr="00462516">
        <w:rPr>
          <w:sz w:val="24"/>
          <w:szCs w:val="24"/>
        </w:rPr>
        <w:t xml:space="preserve">   </w:t>
      </w:r>
    </w:p>
    <w:p w:rsidR="004047BD" w:rsidRPr="00462516" w:rsidRDefault="004047BD" w:rsidP="004047BD">
      <w:pPr>
        <w:widowControl/>
        <w:numPr>
          <w:ilvl w:val="0"/>
          <w:numId w:val="1"/>
        </w:numPr>
        <w:tabs>
          <w:tab w:val="clear" w:pos="720"/>
          <w:tab w:val="num" w:pos="360"/>
        </w:tabs>
        <w:autoSpaceDE/>
        <w:autoSpaceDN/>
        <w:adjustRightInd/>
        <w:spacing w:line="360" w:lineRule="auto"/>
        <w:ind w:left="360" w:firstLine="0"/>
        <w:jc w:val="both"/>
        <w:rPr>
          <w:sz w:val="24"/>
          <w:szCs w:val="24"/>
        </w:rPr>
      </w:pPr>
      <w:r w:rsidRPr="00462516">
        <w:rPr>
          <w:sz w:val="24"/>
          <w:szCs w:val="24"/>
        </w:rPr>
        <w:t>Grado de análisis de la teoría en relación con la realidad actual.</w:t>
      </w:r>
    </w:p>
    <w:p w:rsidR="004047BD" w:rsidRPr="00462516" w:rsidRDefault="004047BD" w:rsidP="004047BD">
      <w:pPr>
        <w:widowControl/>
        <w:numPr>
          <w:ilvl w:val="0"/>
          <w:numId w:val="1"/>
        </w:numPr>
        <w:tabs>
          <w:tab w:val="clear" w:pos="720"/>
          <w:tab w:val="num" w:pos="360"/>
        </w:tabs>
        <w:autoSpaceDE/>
        <w:autoSpaceDN/>
        <w:adjustRightInd/>
        <w:spacing w:line="360" w:lineRule="auto"/>
        <w:ind w:left="360" w:firstLine="0"/>
        <w:jc w:val="both"/>
        <w:rPr>
          <w:sz w:val="24"/>
          <w:szCs w:val="24"/>
        </w:rPr>
      </w:pPr>
      <w:r w:rsidRPr="00462516">
        <w:rPr>
          <w:sz w:val="24"/>
          <w:szCs w:val="24"/>
        </w:rPr>
        <w:t>Manejo de vocabulario académico.</w:t>
      </w:r>
    </w:p>
    <w:p w:rsidR="004047BD" w:rsidRPr="00462516" w:rsidRDefault="004047BD" w:rsidP="004047BD">
      <w:pPr>
        <w:widowControl/>
        <w:numPr>
          <w:ilvl w:val="0"/>
          <w:numId w:val="1"/>
        </w:numPr>
        <w:tabs>
          <w:tab w:val="clear" w:pos="720"/>
          <w:tab w:val="num" w:pos="360"/>
        </w:tabs>
        <w:autoSpaceDE/>
        <w:autoSpaceDN/>
        <w:adjustRightInd/>
        <w:spacing w:line="360" w:lineRule="auto"/>
        <w:ind w:left="360" w:firstLine="0"/>
        <w:jc w:val="both"/>
        <w:rPr>
          <w:sz w:val="24"/>
          <w:szCs w:val="24"/>
        </w:rPr>
      </w:pPr>
      <w:r w:rsidRPr="00462516">
        <w:rPr>
          <w:sz w:val="24"/>
          <w:szCs w:val="24"/>
        </w:rPr>
        <w:t>Capacidad para interpretar los conceptos y aprehenderlos.</w:t>
      </w:r>
    </w:p>
    <w:p w:rsidR="004047BD" w:rsidRPr="00462516" w:rsidRDefault="004047BD" w:rsidP="004047BD">
      <w:pPr>
        <w:widowControl/>
        <w:numPr>
          <w:ilvl w:val="0"/>
          <w:numId w:val="1"/>
        </w:numPr>
        <w:tabs>
          <w:tab w:val="clear" w:pos="720"/>
          <w:tab w:val="num" w:pos="360"/>
        </w:tabs>
        <w:autoSpaceDE/>
        <w:autoSpaceDN/>
        <w:adjustRightInd/>
        <w:spacing w:line="360" w:lineRule="auto"/>
        <w:ind w:left="360" w:firstLine="0"/>
        <w:jc w:val="both"/>
        <w:rPr>
          <w:sz w:val="24"/>
          <w:szCs w:val="24"/>
        </w:rPr>
      </w:pPr>
      <w:r w:rsidRPr="00462516">
        <w:rPr>
          <w:sz w:val="24"/>
          <w:szCs w:val="24"/>
        </w:rPr>
        <w:t>Presentación adecuada de trabajos solicitados.</w:t>
      </w:r>
    </w:p>
    <w:p w:rsidR="004047BD" w:rsidRPr="00462516" w:rsidRDefault="004047BD" w:rsidP="004047BD">
      <w:pPr>
        <w:pStyle w:val="Prrafodelista"/>
        <w:numPr>
          <w:ilvl w:val="0"/>
          <w:numId w:val="1"/>
        </w:numPr>
        <w:suppressAutoHyphens w:val="0"/>
        <w:spacing w:line="360" w:lineRule="auto"/>
        <w:jc w:val="both"/>
        <w:rPr>
          <w:snapToGrid w:val="0"/>
          <w:sz w:val="24"/>
          <w:szCs w:val="24"/>
        </w:rPr>
      </w:pPr>
      <w:r w:rsidRPr="00462516">
        <w:rPr>
          <w:snapToGrid w:val="0"/>
          <w:sz w:val="24"/>
          <w:szCs w:val="24"/>
        </w:rPr>
        <w:t>Expresión oral y escrita a través de diferentes instrumentos, trabajos prácticos escritos y defensa de los mismos. Etc.</w:t>
      </w:r>
    </w:p>
    <w:p w:rsidR="004047BD" w:rsidRDefault="004047BD" w:rsidP="004047BD">
      <w:pPr>
        <w:pStyle w:val="Prrafodelista"/>
        <w:numPr>
          <w:ilvl w:val="0"/>
          <w:numId w:val="1"/>
        </w:numPr>
        <w:suppressAutoHyphens w:val="0"/>
        <w:spacing w:line="360" w:lineRule="auto"/>
        <w:jc w:val="both"/>
        <w:rPr>
          <w:snapToGrid w:val="0"/>
          <w:sz w:val="24"/>
          <w:szCs w:val="24"/>
        </w:rPr>
      </w:pPr>
      <w:r w:rsidRPr="00462516">
        <w:rPr>
          <w:snapToGrid w:val="0"/>
          <w:sz w:val="24"/>
          <w:szCs w:val="24"/>
        </w:rPr>
        <w:t>Ortografía, y coherencia en la redacción.</w:t>
      </w:r>
    </w:p>
    <w:p w:rsidR="004047BD" w:rsidRDefault="004047BD" w:rsidP="004047BD">
      <w:pPr>
        <w:spacing w:line="360" w:lineRule="auto"/>
        <w:jc w:val="both"/>
        <w:rPr>
          <w:b/>
          <w:snapToGrid w:val="0"/>
          <w:sz w:val="24"/>
          <w:szCs w:val="24"/>
          <w:u w:val="single"/>
        </w:rPr>
      </w:pPr>
      <w:r w:rsidRPr="00672A87">
        <w:rPr>
          <w:b/>
          <w:snapToGrid w:val="0"/>
          <w:sz w:val="24"/>
          <w:szCs w:val="24"/>
          <w:u w:val="single"/>
        </w:rPr>
        <w:t>INSTRUMENTOS DE EVALUACIÒN:</w:t>
      </w:r>
    </w:p>
    <w:p w:rsidR="004047BD" w:rsidRDefault="004047BD" w:rsidP="004047BD">
      <w:pPr>
        <w:spacing w:line="360" w:lineRule="auto"/>
        <w:jc w:val="both"/>
        <w:rPr>
          <w:sz w:val="24"/>
          <w:szCs w:val="24"/>
        </w:rPr>
      </w:pPr>
      <w:r>
        <w:rPr>
          <w:sz w:val="24"/>
          <w:szCs w:val="24"/>
        </w:rPr>
        <w:t>L</w:t>
      </w:r>
      <w:r w:rsidRPr="00462516">
        <w:rPr>
          <w:sz w:val="24"/>
          <w:szCs w:val="24"/>
        </w:rPr>
        <w:t>os estudiantes serán evaluados bajo diferentes tipos de trab</w:t>
      </w:r>
      <w:r>
        <w:rPr>
          <w:sz w:val="24"/>
          <w:szCs w:val="24"/>
        </w:rPr>
        <w:t>ajos presentados virtualmente</w:t>
      </w:r>
      <w:r w:rsidRPr="00462516">
        <w:rPr>
          <w:sz w:val="24"/>
          <w:szCs w:val="24"/>
        </w:rPr>
        <w:t xml:space="preserve">, ya sean escritos u orales. Los mismos deberán respetar el </w:t>
      </w:r>
      <w:r>
        <w:rPr>
          <w:sz w:val="24"/>
          <w:szCs w:val="24"/>
        </w:rPr>
        <w:t>condicionante  que es la fecha de</w:t>
      </w:r>
      <w:r w:rsidRPr="00462516">
        <w:rPr>
          <w:sz w:val="24"/>
          <w:szCs w:val="24"/>
        </w:rPr>
        <w:t xml:space="preserve"> entrega de las producciones</w:t>
      </w:r>
      <w:r>
        <w:rPr>
          <w:sz w:val="24"/>
          <w:szCs w:val="24"/>
        </w:rPr>
        <w:t xml:space="preserve"> y trabajos solicitados</w:t>
      </w:r>
      <w:r w:rsidRPr="00462516">
        <w:rPr>
          <w:sz w:val="24"/>
          <w:szCs w:val="24"/>
        </w:rPr>
        <w:t>. Al finalizar el recorrido anual,</w:t>
      </w:r>
      <w:r>
        <w:rPr>
          <w:sz w:val="24"/>
          <w:szCs w:val="24"/>
        </w:rPr>
        <w:t xml:space="preserve"> deberán rendir un TIF (Trabajo Final Integrador).</w:t>
      </w:r>
      <w:r w:rsidRPr="00462516">
        <w:rPr>
          <w:sz w:val="24"/>
          <w:szCs w:val="24"/>
        </w:rPr>
        <w:t xml:space="preserve">Las y los alumnos </w:t>
      </w:r>
      <w:r w:rsidRPr="007C2300">
        <w:rPr>
          <w:b/>
          <w:sz w:val="24"/>
          <w:szCs w:val="24"/>
        </w:rPr>
        <w:t>PRESENCIALES</w:t>
      </w:r>
      <w:r w:rsidRPr="00462516">
        <w:rPr>
          <w:sz w:val="24"/>
          <w:szCs w:val="24"/>
        </w:rPr>
        <w:t>,</w:t>
      </w:r>
      <w:r w:rsidRPr="00D23C04">
        <w:rPr>
          <w:sz w:val="24"/>
          <w:szCs w:val="24"/>
        </w:rPr>
        <w:t xml:space="preserve"> </w:t>
      </w:r>
      <w:r>
        <w:rPr>
          <w:sz w:val="24"/>
          <w:szCs w:val="24"/>
        </w:rPr>
        <w:t xml:space="preserve">deberán </w:t>
      </w:r>
      <w:r w:rsidRPr="00462516">
        <w:rPr>
          <w:sz w:val="24"/>
          <w:szCs w:val="24"/>
        </w:rPr>
        <w:t>aprobar todos los trabajos y parciales</w:t>
      </w:r>
      <w:r>
        <w:rPr>
          <w:sz w:val="24"/>
          <w:szCs w:val="24"/>
        </w:rPr>
        <w:t xml:space="preserve"> y vincularse un 60%en las clases obligatorias propuestas por la docente</w:t>
      </w:r>
      <w:r w:rsidRPr="00462516">
        <w:rPr>
          <w:sz w:val="24"/>
          <w:szCs w:val="24"/>
        </w:rPr>
        <w:t xml:space="preserve"> con derecho a</w:t>
      </w:r>
      <w:r>
        <w:rPr>
          <w:sz w:val="24"/>
          <w:szCs w:val="24"/>
        </w:rPr>
        <w:t xml:space="preserve"> dos reelaboraciones.  </w:t>
      </w:r>
      <w:r w:rsidRPr="006078E4">
        <w:rPr>
          <w:sz w:val="24"/>
          <w:szCs w:val="24"/>
        </w:rPr>
        <w:t>Las y los alumnos</w:t>
      </w:r>
      <w:r>
        <w:rPr>
          <w:b/>
          <w:sz w:val="24"/>
          <w:szCs w:val="24"/>
        </w:rPr>
        <w:t xml:space="preserve"> </w:t>
      </w:r>
      <w:r w:rsidRPr="007C2300">
        <w:rPr>
          <w:b/>
          <w:sz w:val="24"/>
          <w:szCs w:val="24"/>
        </w:rPr>
        <w:t xml:space="preserve">SEMIPRESENCIALES </w:t>
      </w:r>
      <w:r w:rsidRPr="00462516">
        <w:rPr>
          <w:sz w:val="24"/>
          <w:szCs w:val="24"/>
        </w:rPr>
        <w:t>deberán aprobar todos los trabajos y parciales con derecho a</w:t>
      </w:r>
      <w:r>
        <w:rPr>
          <w:sz w:val="24"/>
          <w:szCs w:val="24"/>
        </w:rPr>
        <w:t xml:space="preserve"> dos reelaboraciones y su respectiva defensa.  Para rendir el examen final deberán presentarse con el trabajo domiciliario realizado (deberán rendir un examen escrito y oral ambas notas son </w:t>
      </w:r>
      <w:proofErr w:type="spellStart"/>
      <w:r>
        <w:rPr>
          <w:sz w:val="24"/>
          <w:szCs w:val="24"/>
        </w:rPr>
        <w:t>promediables</w:t>
      </w:r>
      <w:proofErr w:type="spellEnd"/>
      <w:r>
        <w:rPr>
          <w:sz w:val="24"/>
          <w:szCs w:val="24"/>
        </w:rPr>
        <w:t xml:space="preserve">). </w:t>
      </w:r>
    </w:p>
    <w:p w:rsidR="004047BD" w:rsidRDefault="004047BD" w:rsidP="004047BD">
      <w:pPr>
        <w:spacing w:line="360" w:lineRule="auto"/>
        <w:jc w:val="both"/>
        <w:rPr>
          <w:sz w:val="24"/>
          <w:szCs w:val="24"/>
        </w:rPr>
      </w:pPr>
      <w:r>
        <w:rPr>
          <w:sz w:val="24"/>
          <w:szCs w:val="24"/>
        </w:rPr>
        <w:t xml:space="preserve">Las y los alumnos </w:t>
      </w:r>
      <w:r w:rsidRPr="00D23C04">
        <w:rPr>
          <w:b/>
          <w:sz w:val="24"/>
          <w:szCs w:val="24"/>
        </w:rPr>
        <w:t xml:space="preserve">LIBRES </w:t>
      </w:r>
      <w:r>
        <w:rPr>
          <w:sz w:val="24"/>
          <w:szCs w:val="24"/>
        </w:rPr>
        <w:t>deberán aprobar un examen final oral y  escrito con manejo de los materiales bibliográficos detallados en el programa.</w:t>
      </w:r>
    </w:p>
    <w:p w:rsidR="004047BD" w:rsidRDefault="004047BD" w:rsidP="004047BD">
      <w:pPr>
        <w:spacing w:line="360" w:lineRule="auto"/>
        <w:jc w:val="both"/>
        <w:rPr>
          <w:sz w:val="24"/>
          <w:szCs w:val="24"/>
        </w:rPr>
      </w:pPr>
    </w:p>
    <w:p w:rsidR="004047BD" w:rsidRPr="00D23C04" w:rsidRDefault="004047BD" w:rsidP="004047BD">
      <w:pPr>
        <w:spacing w:line="360" w:lineRule="auto"/>
        <w:jc w:val="both"/>
        <w:rPr>
          <w:b/>
          <w:snapToGrid w:val="0"/>
          <w:sz w:val="24"/>
          <w:szCs w:val="24"/>
          <w:u w:val="single"/>
        </w:rPr>
      </w:pPr>
      <w:r>
        <w:rPr>
          <w:sz w:val="24"/>
          <w:szCs w:val="24"/>
        </w:rPr>
        <w:t xml:space="preserve">Profesora: Barrios </w:t>
      </w:r>
      <w:proofErr w:type="spellStart"/>
      <w:r>
        <w:rPr>
          <w:sz w:val="24"/>
          <w:szCs w:val="24"/>
        </w:rPr>
        <w:t>Analia</w:t>
      </w:r>
      <w:proofErr w:type="spellEnd"/>
    </w:p>
    <w:p w:rsidR="004047BD" w:rsidRDefault="004047BD" w:rsidP="004047BD"/>
    <w:p w:rsidR="0082442F" w:rsidRPr="002F4FD3" w:rsidRDefault="0082442F" w:rsidP="004047BD">
      <w:pPr>
        <w:shd w:val="clear" w:color="auto" w:fill="FFFFFF"/>
        <w:tabs>
          <w:tab w:val="left" w:pos="706"/>
        </w:tabs>
        <w:spacing w:line="288" w:lineRule="exact"/>
        <w:ind w:right="44"/>
        <w:jc w:val="both"/>
        <w:rPr>
          <w:sz w:val="24"/>
          <w:szCs w:val="24"/>
        </w:rPr>
      </w:pPr>
    </w:p>
    <w:p w:rsidR="0082442F" w:rsidRDefault="0082442F" w:rsidP="0082442F">
      <w:pPr>
        <w:spacing w:line="360" w:lineRule="auto"/>
        <w:jc w:val="both"/>
        <w:rPr>
          <w:sz w:val="24"/>
          <w:szCs w:val="24"/>
        </w:rPr>
      </w:pPr>
    </w:p>
    <w:p w:rsidR="0082442F" w:rsidRPr="002F4FD3" w:rsidRDefault="0082442F" w:rsidP="0082442F">
      <w:pPr>
        <w:spacing w:line="360" w:lineRule="auto"/>
        <w:jc w:val="both"/>
        <w:rPr>
          <w:sz w:val="24"/>
          <w:szCs w:val="24"/>
        </w:rPr>
      </w:pPr>
    </w:p>
    <w:p w:rsidR="0082442F" w:rsidRPr="0082442F" w:rsidRDefault="0082442F" w:rsidP="0082442F">
      <w:pPr>
        <w:rPr>
          <w:u w:val="single"/>
        </w:rPr>
      </w:pPr>
    </w:p>
    <w:sectPr w:rsidR="0082442F" w:rsidRPr="0082442F" w:rsidSect="00D6594C">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2A7"/>
    <w:multiLevelType w:val="hybridMultilevel"/>
    <w:tmpl w:val="AAB8DCAA"/>
    <w:lvl w:ilvl="0" w:tplc="AA3430E6">
      <w:start w:val="1"/>
      <w:numFmt w:val="bullet"/>
      <w:lvlText w:val=""/>
      <w:lvlJc w:val="left"/>
      <w:pPr>
        <w:tabs>
          <w:tab w:val="num" w:pos="720"/>
        </w:tabs>
        <w:ind w:left="720" w:hanging="360"/>
      </w:pPr>
      <w:rPr>
        <w:rFonts w:ascii="Wingdings" w:hAnsi="Wingdings" w:hint="default"/>
      </w:rPr>
    </w:lvl>
    <w:lvl w:ilvl="1" w:tplc="0134993E">
      <w:start w:val="1"/>
      <w:numFmt w:val="bullet"/>
      <w:lvlText w:val=""/>
      <w:lvlJc w:val="left"/>
      <w:pPr>
        <w:tabs>
          <w:tab w:val="num" w:pos="1077"/>
        </w:tabs>
        <w:ind w:left="1400" w:hanging="320"/>
      </w:pPr>
      <w:rPr>
        <w:rFonts w:ascii="Wingdings" w:hAnsi="Wingdings" w:hint="default"/>
        <w:color w:val="auto"/>
        <w:effect w:val="none"/>
        <w:lang w:val="es-ES_tradnl"/>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24B7BE1"/>
    <w:multiLevelType w:val="hybridMultilevel"/>
    <w:tmpl w:val="5CBAB28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BE74D60"/>
    <w:multiLevelType w:val="hybridMultilevel"/>
    <w:tmpl w:val="419EC1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442F"/>
    <w:rsid w:val="00046610"/>
    <w:rsid w:val="00257803"/>
    <w:rsid w:val="004047BD"/>
    <w:rsid w:val="004724ED"/>
    <w:rsid w:val="004E1BFE"/>
    <w:rsid w:val="00540701"/>
    <w:rsid w:val="0082442F"/>
    <w:rsid w:val="00A512D3"/>
    <w:rsid w:val="00D63450"/>
    <w:rsid w:val="00D6594C"/>
    <w:rsid w:val="00D851E6"/>
    <w:rsid w:val="00E649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2F"/>
    <w:pPr>
      <w:widowControl w:val="0"/>
      <w:autoSpaceDE w:val="0"/>
      <w:autoSpaceDN w:val="0"/>
      <w:adjustRightInd w:val="0"/>
      <w:spacing w:after="0" w:line="240" w:lineRule="auto"/>
    </w:pPr>
    <w:rPr>
      <w:rFonts w:ascii="Times New Roman" w:eastAsia="Times New Roman" w:hAnsi="Times New Roman" w:cs="Times New Roman"/>
      <w:sz w:val="20"/>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2442F"/>
    <w:rPr>
      <w:color w:val="0000FF"/>
      <w:u w:val="single"/>
    </w:rPr>
  </w:style>
  <w:style w:type="paragraph" w:customStyle="1" w:styleId="Normal1">
    <w:name w:val="Normal1"/>
    <w:rsid w:val="0082442F"/>
    <w:pPr>
      <w:spacing w:after="0" w:line="240" w:lineRule="auto"/>
    </w:pPr>
    <w:rPr>
      <w:rFonts w:ascii="Times New Roman" w:eastAsia="Times New Roman" w:hAnsi="Times New Roman" w:cs="Times New Roman"/>
      <w:color w:val="000000"/>
      <w:sz w:val="24"/>
      <w:szCs w:val="20"/>
      <w:lang w:val="es-AR" w:eastAsia="es-ES"/>
    </w:rPr>
  </w:style>
  <w:style w:type="paragraph" w:customStyle="1" w:styleId="Default">
    <w:name w:val="Default"/>
    <w:rsid w:val="0082442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4047BD"/>
    <w:pPr>
      <w:widowControl/>
      <w:suppressAutoHyphens/>
      <w:autoSpaceDE/>
      <w:autoSpaceDN/>
      <w:adjustRightInd/>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doc.infd.edu.ar/upload/la_experiencia_escolar.pdf" TargetMode="External"/><Relationship Id="rId3" Type="http://schemas.openxmlformats.org/officeDocument/2006/relationships/settings" Target="settings.xml"/><Relationship Id="rId7" Type="http://schemas.openxmlformats.org/officeDocument/2006/relationships/hyperlink" Target="http://webs.ucm.es/info/eurotheo/diccionario/E/educacion_sociolog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gov.ar/monitor/nro1/dossier.htm" TargetMode="External"/><Relationship Id="rId11" Type="http://schemas.openxmlformats.org/officeDocument/2006/relationships/theme" Target="theme/theme1.xml"/><Relationship Id="rId5" Type="http://schemas.openxmlformats.org/officeDocument/2006/relationships/hyperlink" Target="http://www.me.gov.ar/monitor/nro1/dossier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o.edu.ar/promedu/trayescolar/desafi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1142</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2019-05-23T00:30:00Z</dcterms:created>
  <dcterms:modified xsi:type="dcterms:W3CDTF">2021-06-21T19:07:00Z</dcterms:modified>
</cp:coreProperties>
</file>